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Liber Primus, Caput VI</w:t>
      </w:r>
    </w:p>
    <w:p>
      <w:pPr>
        <w:pStyle w:val="Body"/>
        <w:bidi w:val="0"/>
      </w:pPr>
    </w:p>
    <w:p>
      <w:pPr>
        <w:pStyle w:val="Body"/>
        <w:spacing w:line="360" w:lineRule="auto"/>
      </w:pPr>
      <w:r>
        <w:rPr>
          <w:rtl w:val="0"/>
        </w:rPr>
        <w:tab/>
        <w:t xml:space="preserve">Erant omnino itinera duo, quibus itineribus domo exire possent: </w:t>
      </w:r>
      <w:r>
        <w:rPr>
          <w:b w:val="1"/>
          <w:bCs w:val="1"/>
          <w:rtl w:val="0"/>
          <w:lang w:val="en-US"/>
        </w:rPr>
        <w:t>unum</w:t>
      </w:r>
      <w:r>
        <w:rPr>
          <w:rtl w:val="0"/>
          <w:lang w:val="en-US"/>
        </w:rPr>
        <w:t xml:space="preserve"> per Sequanos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, angustum et difficile, inter montem Iuram et flumen Rhodanum, vix </w:t>
      </w:r>
      <w:r>
        <w:rPr>
          <w:b w:val="1"/>
          <w:bCs w:val="1"/>
          <w:rtl w:val="0"/>
          <w:lang w:val="en-US"/>
        </w:rPr>
        <w:t>qua</w:t>
      </w:r>
      <w:r>
        <w:rPr>
          <w:rtl w:val="0"/>
          <w:lang w:val="en-US"/>
        </w:rPr>
        <w:t xml:space="preserve"> singuli carri </w:t>
      </w:r>
      <w:r>
        <w:rPr>
          <w:b w:val="1"/>
          <w:bCs w:val="1"/>
          <w:rtl w:val="0"/>
          <w:lang w:val="en-US"/>
        </w:rPr>
        <w:t>ducerentur</w:t>
      </w:r>
      <w:r>
        <w:rPr>
          <w:rtl w:val="0"/>
          <w:lang w:val="en-US"/>
        </w:rPr>
        <w:t xml:space="preserve">; mons autem altissimus impendebat, ut facile perpauci prohibere possent; </w:t>
      </w:r>
      <w:r>
        <w:rPr>
          <w:b w:val="1"/>
          <w:bCs w:val="1"/>
          <w:rtl w:val="0"/>
          <w:lang w:val="en-US"/>
        </w:rPr>
        <w:t>alterum</w:t>
      </w:r>
      <w:r>
        <w:rPr>
          <w:rtl w:val="0"/>
          <w:lang w:val="en-US"/>
        </w:rPr>
        <w:t xml:space="preserve"> per provinciam nostram, </w:t>
      </w:r>
      <w:r>
        <w:rPr>
          <w:b w:val="1"/>
          <w:bCs w:val="1"/>
          <w:rtl w:val="0"/>
          <w:lang w:val="en-US"/>
        </w:rPr>
        <w:t>multo</w:t>
      </w:r>
      <w:r>
        <w:rPr>
          <w:rtl w:val="0"/>
          <w:lang w:val="en-US"/>
        </w:rPr>
        <w:t xml:space="preserve"> facilius atque expeditius, propterea quod Rhodanus fluit inter fines Helvetiorum et Allobrogum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>, qui nuper pacati erant, isque</w:t>
      </w:r>
      <w:r>
        <w:rPr>
          <w:rFonts w:ascii="Times New Roman" w:cs="Times New Roman" w:hAnsi="Times New Roman" w:eastAsia="Times New Roman"/>
          <w:vertAlign w:val="superscript"/>
        </w:rPr>
        <w:footnoteReference w:id="3"/>
      </w:r>
      <w:r>
        <w:rPr>
          <w:rtl w:val="0"/>
          <w:lang w:val="en-US"/>
        </w:rPr>
        <w:t xml:space="preserve"> nonnullis</w:t>
      </w:r>
      <w:r>
        <w:rPr>
          <w:rFonts w:ascii="Times New Roman" w:cs="Times New Roman" w:hAnsi="Times New Roman" w:eastAsia="Times New Roman"/>
          <w:vertAlign w:val="superscript"/>
        </w:rPr>
        <w:footnoteReference w:id="4"/>
      </w:r>
      <w:r>
        <w:rPr>
          <w:rtl w:val="0"/>
          <w:lang w:val="en-US"/>
        </w:rPr>
        <w:t xml:space="preserve"> locis </w:t>
      </w:r>
      <w:r>
        <w:rPr>
          <w:b w:val="1"/>
          <w:bCs w:val="1"/>
          <w:rtl w:val="0"/>
          <w:lang w:val="en-US"/>
        </w:rPr>
        <w:t>vado</w:t>
      </w:r>
      <w:r>
        <w:rPr>
          <w:rtl w:val="0"/>
          <w:lang w:val="en-US"/>
        </w:rPr>
        <w:t xml:space="preserve"> transitur. Extremum oppidum Allobrogum est Genua, et proximum finibus Helvetiorum. Ex eo oppido pons ad Helvetios pertinet. Allobrogibus </w:t>
      </w:r>
      <w:r>
        <w:rPr>
          <w:b w:val="1"/>
          <w:bCs w:val="1"/>
          <w:rtl w:val="0"/>
          <w:lang w:val="en-US"/>
        </w:rPr>
        <w:t>sese</w:t>
      </w:r>
      <w:r>
        <w:rPr>
          <w:rtl w:val="0"/>
          <w:lang w:val="en-US"/>
        </w:rPr>
        <w:t xml:space="preserve"> vel persuasuros</w:t>
      </w:r>
      <w:r>
        <w:rPr>
          <w:rFonts w:ascii="Times New Roman" w:cs="Times New Roman" w:hAnsi="Times New Roman" w:eastAsia="Times New Roman"/>
          <w:vertAlign w:val="superscript"/>
        </w:rPr>
        <w:footnoteReference w:id="5"/>
      </w:r>
      <w:r>
        <w:rPr>
          <w:rtl w:val="0"/>
          <w:lang w:val="en-US"/>
        </w:rPr>
        <w:t xml:space="preserve">, quod nondum bono animo in populum Romanum viderentur, </w:t>
      </w:r>
      <w:r>
        <w:rPr>
          <w:b w:val="1"/>
          <w:bCs w:val="1"/>
          <w:rtl w:val="0"/>
          <w:lang w:val="en-US"/>
        </w:rPr>
        <w:t>existimabant</w:t>
      </w:r>
      <w:r>
        <w:rPr>
          <w:rtl w:val="0"/>
          <w:lang w:val="en-US"/>
        </w:rPr>
        <w:t xml:space="preserve">, vel </w:t>
      </w:r>
      <w:r>
        <w:rPr>
          <w:b w:val="1"/>
          <w:bCs w:val="1"/>
          <w:rtl w:val="0"/>
          <w:lang w:val="en-US"/>
        </w:rPr>
        <w:t>vi</w:t>
      </w:r>
      <w:r>
        <w:rPr>
          <w:rtl w:val="0"/>
          <w:lang w:val="en-US"/>
        </w:rPr>
        <w:t xml:space="preserve"> coacturos</w:t>
      </w:r>
      <w:r>
        <w:rPr>
          <w:rFonts w:ascii="Times New Roman" w:cs="Times New Roman" w:hAnsi="Times New Roman" w:eastAsia="Times New Roman"/>
          <w:vertAlign w:val="superscript"/>
        </w:rPr>
        <w:footnoteReference w:id="6"/>
      </w:r>
      <w:r>
        <w:rPr>
          <w:rtl w:val="0"/>
          <w:lang w:val="en-US"/>
        </w:rPr>
        <w:t>, ut per suos fines eos ire paterentur. Omnibus rebus ad profectionem comparatis diem dicunt</w:t>
      </w:r>
      <w:r>
        <w:rPr>
          <w:rFonts w:ascii="Times New Roman" w:cs="Times New Roman" w:hAnsi="Times New Roman" w:eastAsia="Times New Roman"/>
          <w:vertAlign w:val="superscript"/>
        </w:rPr>
        <w:footnoteReference w:id="7"/>
      </w:r>
      <w:r>
        <w:rPr>
          <w:rtl w:val="0"/>
          <w:lang w:val="en-US"/>
        </w:rPr>
        <w:t xml:space="preserve">, qua die ad ripam Rhodani omnes conveniant. </w:t>
      </w: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Vocabularium</w:t>
      </w:r>
    </w:p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unum: </w:t>
      </w:r>
      <w:r>
        <w:rPr>
          <w:b w:val="0"/>
          <w:bCs w:val="0"/>
          <w:i w:val="1"/>
          <w:iCs w:val="1"/>
          <w:rtl w:val="0"/>
          <w:lang w:val="en-US"/>
        </w:rPr>
        <w:t xml:space="preserve">add </w:t>
      </w:r>
      <w:r>
        <w:rPr>
          <w:b w:val="1"/>
          <w:bCs w:val="1"/>
          <w:i w:val="1"/>
          <w:iCs w:val="1"/>
          <w:rtl w:val="0"/>
          <w:lang w:val="en-US"/>
        </w:rPr>
        <w:t>iter est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qua: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by which route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ducerentur: </w:t>
      </w:r>
      <w:r>
        <w:rPr>
          <w:b w:val="1"/>
          <w:bCs w:val="1"/>
          <w:i w:val="1"/>
          <w:iCs w:val="1"/>
          <w:rtl w:val="0"/>
          <w:lang w:val="en-US"/>
        </w:rPr>
        <w:t>singuli carri</w:t>
      </w:r>
      <w:r>
        <w:rPr>
          <w:b w:val="0"/>
          <w:bCs w:val="0"/>
          <w:i w:val="1"/>
          <w:iCs w:val="1"/>
          <w:rtl w:val="0"/>
          <w:lang w:val="en-US"/>
        </w:rPr>
        <w:t xml:space="preserve"> is the subject</w:t>
      </w:r>
    </w:p>
    <w:p>
      <w:pPr>
        <w:pStyle w:val="Body"/>
        <w:jc w:val="left"/>
        <w:rPr>
          <w:b w:val="1"/>
          <w:bCs w:val="1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alterum: </w:t>
      </w:r>
      <w:r>
        <w:rPr>
          <w:b w:val="0"/>
          <w:bCs w:val="0"/>
          <w:i w:val="1"/>
          <w:iCs w:val="1"/>
          <w:rtl w:val="0"/>
          <w:lang w:val="en-US"/>
        </w:rPr>
        <w:t xml:space="preserve">add </w:t>
      </w:r>
      <w:r>
        <w:rPr>
          <w:b w:val="1"/>
          <w:bCs w:val="1"/>
          <w:i w:val="1"/>
          <w:iCs w:val="1"/>
          <w:rtl w:val="0"/>
          <w:lang w:val="en-US"/>
        </w:rPr>
        <w:t>iter est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multo: </w:t>
      </w:r>
      <w:r>
        <w:rPr>
          <w:b w:val="0"/>
          <w:bCs w:val="0"/>
          <w:i w:val="1"/>
          <w:iCs w:val="1"/>
          <w:rtl w:val="0"/>
          <w:lang w:val="en-US"/>
        </w:rPr>
        <w:t xml:space="preserve">literally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by much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  <w:r>
        <w:rPr>
          <w:b w:val="0"/>
          <w:bCs w:val="0"/>
          <w:rtl w:val="0"/>
          <w:lang w:val="en-US"/>
        </w:rPr>
        <w:t xml:space="preserve">, </w:t>
      </w:r>
      <w:r>
        <w:rPr>
          <w:b w:val="0"/>
          <w:bCs w:val="0"/>
          <w:i w:val="1"/>
          <w:iCs w:val="1"/>
          <w:rtl w:val="0"/>
          <w:lang w:val="en-US"/>
        </w:rPr>
        <w:t xml:space="preserve">translate as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much more _____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vadum, -i, n.: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ford, crossing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sese: </w:t>
      </w:r>
      <w:r>
        <w:rPr>
          <w:b w:val="0"/>
          <w:bCs w:val="0"/>
          <w:i w:val="1"/>
          <w:iCs w:val="1"/>
          <w:rtl w:val="0"/>
          <w:lang w:val="en-US"/>
        </w:rPr>
        <w:t xml:space="preserve">emphatic form of </w:t>
      </w:r>
      <w:r>
        <w:rPr>
          <w:b w:val="1"/>
          <w:bCs w:val="1"/>
          <w:rtl w:val="0"/>
          <w:lang w:val="en-US"/>
        </w:rPr>
        <w:t>se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vi: </w:t>
      </w:r>
      <w:r>
        <w:rPr>
          <w:b w:val="0"/>
          <w:bCs w:val="0"/>
          <w:i w:val="1"/>
          <w:iCs w:val="1"/>
          <w:rtl w:val="0"/>
          <w:lang w:val="en-US"/>
        </w:rPr>
        <w:t xml:space="preserve">from </w:t>
      </w:r>
      <w:r>
        <w:rPr>
          <w:b w:val="1"/>
          <w:bCs w:val="1"/>
          <w:rtl w:val="0"/>
          <w:lang w:val="en-US"/>
        </w:rPr>
        <w:t xml:space="preserve">vis, vis, f.: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by force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existimabat: </w:t>
      </w:r>
      <w:r>
        <w:rPr>
          <w:b w:val="0"/>
          <w:bCs w:val="0"/>
          <w:i w:val="1"/>
          <w:iCs w:val="1"/>
          <w:rtl w:val="0"/>
          <w:lang w:val="en-US"/>
        </w:rPr>
        <w:t>head verb of indirect speech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Sequanos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one of the tribes near the Helvetii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Allobrogum, qui</w:t>
      </w:r>
      <w:r>
        <w:rPr>
          <w:rFonts w:ascii="Arial Unicode MS" w:cs="Arial Unicode MS" w:hAnsi="Helvetica" w:eastAsia="Arial Unicode MS" w:hint="default"/>
          <w:b w:val="1"/>
          <w:bCs w:val="1"/>
          <w:rtl w:val="0"/>
          <w:lang w:val="en-US"/>
        </w:rPr>
        <w:t>…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pacati erant: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the Allobroges had fought and lost to Rome previously. Now they are 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allies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”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, but allies in the sense that the Romans have pacified and cowed them. 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isque: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is + que; is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refers to </w:t>
      </w:r>
      <w:r>
        <w:rPr>
          <w:rFonts w:ascii="Helvetica" w:cs="Arial Unicode MS" w:hAnsi="Arial Unicode MS" w:eastAsia="Arial Unicode MS"/>
          <w:rtl w:val="0"/>
          <w:lang w:val="en-US"/>
        </w:rPr>
        <w:t>Rhodanus (the river Rh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ô</w:t>
      </w:r>
      <w:r>
        <w:rPr>
          <w:rFonts w:ascii="Helvetica" w:cs="Arial Unicode MS" w:hAnsi="Arial Unicode MS" w:eastAsia="Arial Unicode MS"/>
          <w:rtl w:val="0"/>
          <w:lang w:val="en-US"/>
        </w:rPr>
        <w:t>ne)</w:t>
      </w:r>
    </w:p>
  </w:footnote>
  <w:footnote w:id="4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nonnullis: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an example of Litotes, or a double negative.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nonnullus, -a, -um: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some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  <w:footnote w:id="5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persuasuros: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supply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esse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complete the indirect speech</w:t>
      </w:r>
    </w:p>
  </w:footnote>
  <w:footnote w:id="6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coacturos: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supply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esse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to complete the indirect speech</w:t>
      </w:r>
    </w:p>
  </w:footnote>
  <w:footnote w:id="7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diem dicunt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: 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rtl w:val="0"/>
          <w:lang w:val="en-US"/>
        </w:rPr>
        <w:t>they declare the day</w:t>
      </w:r>
      <w:r>
        <w:rPr>
          <w:rFonts w:ascii="Arial Unicode MS" w:cs="Arial Unicode MS" w:hAnsi="Helvetica" w:eastAsia="Arial Unicode MS" w:hint="default"/>
          <w:rtl w:val="0"/>
          <w:lang w:val="en-US"/>
        </w:rPr>
        <w:t>”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  <w:sz w:val="22"/>
        <w:szCs w:val="22"/>
      </w:rPr>
      <w:tab/>
    </w:r>
    <w:r>
      <w:rPr>
        <w:b w:val="1"/>
        <w:bCs w:val="1"/>
        <w:sz w:val="22"/>
        <w:szCs w:val="22"/>
        <w:rtl w:val="0"/>
        <w:lang w:val="en-US"/>
      </w:rPr>
      <w:t xml:space="preserve">Gaius Iulius Caesar - </w:t>
    </w:r>
    <w:r>
      <w:rPr>
        <w:b w:val="1"/>
        <w:bCs w:val="1"/>
        <w:i w:val="1"/>
        <w:iCs w:val="1"/>
        <w:sz w:val="22"/>
        <w:szCs w:val="22"/>
        <w:rtl w:val="0"/>
        <w:lang w:val="en-US"/>
      </w:rPr>
      <w:t>De Bello Gallico</w:t>
    </w:r>
    <w:r>
      <w:rPr>
        <w:b w:val="1"/>
        <w:bCs w:val="1"/>
        <w:sz w:val="22"/>
        <w:szCs w:val="22"/>
      </w:rPr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